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EA" w:rsidRDefault="003504EA" w:rsidP="003504EA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BA4A64" w:rsidRDefault="00BA4A64" w:rsidP="00BA4A6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6</w:t>
      </w: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:rsidTr="00E935B8">
        <w:tc>
          <w:tcPr>
            <w:tcW w:w="10603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:rsidTr="00E5006C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397" w:type="pct"/>
          </w:tcPr>
          <w:p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240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7F" w:rsidRDefault="009C337F">
      <w:r>
        <w:separator/>
      </w:r>
    </w:p>
  </w:endnote>
  <w:endnote w:type="continuationSeparator" w:id="0">
    <w:p w:rsidR="009C337F" w:rsidRDefault="009C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E1097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7F" w:rsidRDefault="009C337F">
      <w:r>
        <w:separator/>
      </w:r>
    </w:p>
  </w:footnote>
  <w:footnote w:type="continuationSeparator" w:id="0">
    <w:p w:rsidR="009C337F" w:rsidRDefault="009C337F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1D01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C1622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D0799"/>
    <w:rsid w:val="00ED189D"/>
    <w:rsid w:val="00ED6057"/>
    <w:rsid w:val="00ED75CF"/>
    <w:rsid w:val="00EE1097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C12F-36A7-4391-A48A-B5C2FCFD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publicznego regranting</dc:title>
  <dc:creator>Przewodniczący Komitetu do spraw Pożytku Publicznego</dc:creator>
  <cp:keywords>ngo;organizacje pozarządowe;fundacja;stowarzyszenie;realizacja zadania;zadanie publiczne;realizacja zadania publicznego;sprawozdanie z realizacji zadania publicznego;konkurs ofert;otwarty konkurs ofert;sprawozdanie;regranting</cp:keywords>
  <cp:lastModifiedBy>Patrycja Piekarzewska</cp:lastModifiedBy>
  <cp:revision>2</cp:revision>
  <cp:lastPrinted>2018-10-09T16:27:00Z</cp:lastPrinted>
  <dcterms:created xsi:type="dcterms:W3CDTF">2020-10-20T08:30:00Z</dcterms:created>
  <dcterms:modified xsi:type="dcterms:W3CDTF">2020-10-20T08:30:00Z</dcterms:modified>
</cp:coreProperties>
</file>